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3 vom 20. September 2022</w:t>
      </w:r>
    </w:p>
    <w:p>
      <w:r>
        <w:t>GR Gerichte, 2022-09-20, IT</w:t>
      </w:r>
    </w:p>
    <w:p>
      <w:r>
        <w:rPr>
          <w:b/>
        </w:rPr>
        <w:t xml:space="preserve">Quelle: </w:t>
      </w:r>
      <w:r>
        <w:t>https://mcp.opencaselaw.ch/entscheid/gr_gerichte_R 2021 3</w:t>
      </w:r>
    </w:p>
    <w:p>
      <w:r>
        <w:t>FR: GR_GERICHTE R 2021 3 du 20 septembre 2022</w:t>
      </w:r>
    </w:p>
    <w:p>
      <w:r>
        <w:t>IT: GR_GERICHTE R 2021 3 del 20 settembre 2022</w:t>
      </w:r>
    </w:p>
    <w:p>
      <w:pPr>
        <w:pStyle w:val="Heading2"/>
      </w:pPr>
      <w:r>
        <w:t>Regeste</w:t>
      </w:r>
    </w:p>
    <w:p>
      <w:r>
        <w:t>opposizione edilizia | Baurecht</w:t>
      </w:r>
    </w:p>
    <w:p>
      <w:pPr>
        <w:pStyle w:val="Heading2"/>
      </w:pPr>
      <w:r>
        <w:t>Erwägungen</w:t>
      </w:r>
    </w:p>
    <w:p>
      <w:r>
        <w:rPr>
          <w:b/>
        </w:rPr>
        <w:t>E. 12</w:t>
      </w:r>
    </w:p>
    <w:p>
      <w:r>
        <w:t>metri di larghezza (lett. a). Pertanto, dal momento che non sono ancora stati designati gli spazi riservati alle acque risp. non si è ancora rinunciato (nell'ambito della determinazione degli spazi riservati alle acque) a fissare uno spazio riservato alle acque, il seguente progetto necessita di un permesso eccezionale ai sensi dell'art. 41c OPAc (cfr. CAVIEZEL/GIOVAN- NINI, Rechtsgutachten Rechtsfragen und Spielräume im Gewässerraum, 2017, pag. 23). Il rilascio di un permesso eccezionale nell'ambito della protezione delle acque rappresenta un compito della Confederazione, per</w:t>
      </w:r>
    </w:p>
    <w:p>
      <w:r>
        <w:t>- 10 - cui va concluso che le ricorrenti sono legittimate a ricorrere. Nella ponderazione degli interessi nel quadro dell'art. 41c cpv. 1 OPAc l'ISOS è inoltre direttamente applicabile (cfr. DTF 143 II 77 consid. 3.1). 2. Controverso è se il progetto di costruzione è conforme al diritto. 3. Come visto nei considerandi precedenti, il progetto in discussione richiede un permesso eccezionale sulle acque. Siccome questo non è stato chiesto e ottenuto la decisione impugnata va annullata già per questo motivo. 4. Inoltre, il progetto in oggetto lede la norma edilizia comunale sull'aree libere. 4.1. Secondo il Piano generale delle strutture (PGS) la parte a sud della particella di costruzione si trova nell'"area libera". Giusta l'art. 3.2 cpv. 4 lett. a della Legge edilizia comunale per G._____ (LE) l'area libera serve a proteggere la struttura dell'abitato all'interno delle zone edificabili. Queste superfici possono essere utilizzate quale orti e giardini. La realizzazione di piccole costruzioni come legnaie, pollai, conigliere e simili è possibile fino ad una superficie di base di 18 m2 e un'altezza massima di 2.50 m purché sia garantito un buon inserimento nel quartiere. Abitazioni e costruzioni per altre attività non sono invece ammesse. Costruzioni sotterranee senza nessuna apparizione esteriore dal terreno esistente possono venir costruite. 4.2. Come constatato durante il sopralluogo, l'entrata del garage sotterraneo previsto nella parte sud della particella di costruzione e dunque nell'area libera sporge dal terreno esistente – che in base al chiaro testo di suddetta norma è il terreno determinante (configurazione naturale) al momento dell'inoltro della domanda di costruzione e non può essere il terreno sistemato in seguito alla costruzione del garage (cfr. anche n. 1.1 e 2.4 cpv. 2 commentario CIAE) –, violando così suddetta disposizione sull'area</w:t>
      </w:r>
    </w:p>
    <w:p>
      <w:r>
        <w:t>- 11 - libera. La decisione impugnata va quindi annullata anche per questo motivo. 5. Nel Comune convenuto è stata emanata una zona di pianificazione con i seguenti obiettivi: "a) Esame della riduzione delle zone edificabili (soprattutto zone residenziali, miste e centrali) in conformità alle prescrizioni dell'art. 15 cpv. 1 e 2 della legge federale sulla pianificazione del territorio (LPT) nonché del Piano direttore cantonale, sezione Insediamento del 20 marzo 2018 (PDC-I). b) Attuazione delle ulteriori prescrizioni dell'art. 15 LPT nonché del PDC-I, in particolare in merito alla promozione di uno sviluppo edilizio di qualità rivolto verso l'interno e alla promozione del rinnovo degli insediamenti (PDC-I, capitolo 5.1.2, Indicazioni attuative)." Il Comune convenuto conta tra i comuni con zone RMC sovradimensionate. 5.1. Secondo le ricorrenti, la particella di costruzione entrerebbe in considerazione per un dezonamento poiché si trova al limite del paese e poiché secondo l'ISOS questa andrebbe mantenuta (completamente) quale area libera. 5.2. La questione se il rilascio della licenza edilizia in oggetto contravvenga allo scopo di riduzione delle zone edificabili o renda difficile il raggiungimento di questo scopo (cfr. a tal proposito STF 1C_650/2020 consid. 3.6.3, 1C_249/2021 consid. 2.5.4.) può essere lasciata aperta, siccome il ricorso va accolto già per i motivi suesposti. 6. Visto che il ricorso va accolto per altri motivi (mancanza di un permesso eccezionale ai sensi della legislazione sulla protezione delle acque, violazione della norma edilizia comunale sulle aree libere) diventano superflue delle considerazioni sulle ulteriori censure delle ricorrenti,</w:t>
      </w:r>
    </w:p>
    <w:p>
      <w:r>
        <w:t>- 12 - segnatamente sulla protezione dell'insediamento e il rispetto dell'ISOS nonché sull'inserimento nel paesaggio del progetto in discussione. 7. Ne discende che il ricorso va accolto e la decisione impugnata annullata. 8.1. I cosi processuali per la presente procedura, composti da una tassa di Stato fissata a CHF 3'000.00 e spese di cancelleria, sono quindi addossati in ragione di metà ciascuno al convenuto e al convocato soccombenti in causa (art. 73 cpv. 1 LGA). 8.2. Il convenuto e il convocato devono inoltre rifondere alle ricorrenti le spese ripetibili (art. 78 cpv. 1 LGA). Nella nota d'onorario del 15 settembre 2022 il patrocinatore delle ricorrenti fa valere un importo totale di CHF 14'050.76. Al riguardo va notato che non possono essere riconosciute le "ulteriori spese" di CHF 201.50 verosimilmente dovute al pernottamento a G._____ perché non necessario. Il patrocinatore ha inoltre fatturato 11 ore di dispendio dovuto al sopralluogo. Considerate ca. 4 ore di viaggio (di andata e ritorno) e ca. 2.5 ore di sopralluogo, le restanti 4.5 ore per la preparazione e la discussione del sopralluogo appaiono eccessive. Per il sopralluogo, si giustifica pertanto una riduzione a un totale di 8 ore. Dalle complessive 45.5833 ore registrate vanno dunque dedotte 3 ore. Infine, una delle ricorrenti ha la partita IVA. Potendo questa dedurre l'imposta precedente, l'IVA va dunque ridotta della metà. Ne discende un indennizzo a titolo di ripetibili per le ricorrenti pari all'importo di CHF 12'472.80 (CHF 11'497.49 [onorario {42.5833 h à CHF 270.00}] + CHF 344.92 [importo forfettario per piccole spese {3 % dell'onorario}] + CHF 168.00 [spese di viaggio] = CHF 12'010.41 [importo senza IVA] x 1.0385 [1/2 IVA del 7.7 %]).</w:t>
      </w:r>
    </w:p>
    <w:p>
      <w:r>
        <w:t>- 13 - III. Per questi motivi il Tribunale giudica: 1. Il ricorso è accolto. La decisione del 16 novembre 2020 del Municipio del Comune di D._____ è annullata. 2. Vengono prelevate le seguenti spese processuali: - una tassa di Stato di CHF 3'000.00 - e le spese di cancelleria di CHF 344.00 totale CHF 3'344.00 Tali spese sono poste in ragione di metà ciascuno a carico del Comune di D._____ e di E._____. 3. Il Comune di D._____ e E._____ versano alla A._____ e all'B._____ complessivamente CHF 12'472.80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